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12634F"/>
          <w:sz w:val="26"/>
        </w:rPr>
        <w:t>SALEQMS</w:t>
      </w:r>
    </w:p>
    <w:p>
      <w:pPr>
        <w:spacing w:after="200"/>
      </w:pPr>
      <w:r>
        <w:rPr>
          <w:b/>
          <w:color w:val="14231F"/>
          <w:sz w:val="60"/>
        </w:rPr>
        <w:t>Implementation Guide</w:t>
      </w:r>
    </w:p>
    <w:p>
      <w:pPr>
        <w:pStyle w:val="Subtitle"/>
      </w:pPr>
      <w:r>
        <w:t>A practical operating guide for quality-managed sales</w:t>
      </w:r>
    </w:p>
    <w:p>
      <w:pPr>
        <w:spacing w:before="280"/>
      </w:pPr>
      <w:r>
        <w:rPr>
          <w:b/>
        </w:rPr>
        <w:t>Better sales decisions. Safer customer commitments. Measurable business results.</w:t>
      </w:r>
    </w:p>
    <w:p>
      <w:r>
        <w:t>Version 1.0 · English · 2026</w:t>
      </w:r>
    </w:p>
    <w:p>
      <w:r>
        <w:br w:type="page"/>
      </w:r>
    </w:p>
    <w:p>
      <w:pPr>
        <w:pStyle w:val="Heading1"/>
      </w:pPr>
      <w:r>
        <w:t>How to use this guide</w:t>
      </w:r>
    </w:p>
    <w:p>
      <w:r>
        <w:t>Use this guide to establish, pilot and improve a sales process that connects customer assurance, commercial performance and quality management. Adapt every example to your organisation, customers, risks and applicable requirements.</w:t>
      </w:r>
    </w:p>
    <w:p>
      <w:pPr>
        <w:pStyle w:val="ListBullet"/>
      </w:pPr>
      <w:r>
        <w:t>Start with the real workflow, not an idealised process map.</w:t>
      </w:r>
    </w:p>
    <w:p>
      <w:pPr>
        <w:pStyle w:val="ListBullet"/>
      </w:pPr>
      <w:r>
        <w:t>Apply controls in proportion to risk and complexity.</w:t>
      </w:r>
    </w:p>
    <w:p>
      <w:pPr>
        <w:pStyle w:val="ListBullet"/>
      </w:pPr>
      <w:r>
        <w:t>Create evidence because it helps decisions, handovers and learning.</w:t>
      </w:r>
    </w:p>
    <w:p>
      <w:pPr>
        <w:pStyle w:val="ListBullet"/>
      </w:pPr>
      <w:r>
        <w:t>Use ISO 9001 as a management-system reference, not as a script for selling.</w:t>
      </w:r>
    </w:p>
    <w:p>
      <w:pPr>
        <w:pStyle w:val="Heading1"/>
      </w:pPr>
      <w:r>
        <w:t>SaleQMS operating model</w:t>
      </w:r>
    </w:p>
    <w:tbl>
      <w:tblPr>
        <w:tblW w:type="auto" w:w="0"/>
        <w:jc w:val="left"/>
        <w:tblLayout w:type="fixed"/>
        <w:tblLook w:firstColumn="1" w:firstRow="1" w:lastColumn="0" w:lastRow="0" w:noHBand="0" w:noVBand="1" w:val="04A0"/>
      </w:tblPr>
      <w:tblGrid>
        <w:gridCol w:w="4680"/>
        <w:gridCol w:w="4680"/>
      </w:tblGrid>
      <w:tr>
        <w:trPr>
          <w:tblHeader w:val="true"/>
        </w:trPr>
        <w:tc>
          <w:tcPr>
            <w:tcW w:type="dxa" w:w="2736"/>
            <w:shd w:fill="DFF5A2"/>
            <w:vAlign w:val="top"/>
            <w:tcMar>
              <w:top w:w="80" w:type="dxa"/>
              <w:start w:w="120" w:type="dxa"/>
              <w:bottom w:w="80" w:type="dxa"/>
              <w:end w:w="120" w:type="dxa"/>
            </w:tcMar>
          </w:tcPr>
          <w:p>
            <w:r>
              <w:t>Area</w:t>
            </w:r>
          </w:p>
        </w:tc>
        <w:tc>
          <w:tcPr>
            <w:tcW w:type="dxa" w:w="6624"/>
            <w:shd w:fill="DFF5A2"/>
            <w:vAlign w:val="top"/>
            <w:tcMar>
              <w:top w:w="80" w:type="dxa"/>
              <w:start w:w="120" w:type="dxa"/>
              <w:bottom w:w="80" w:type="dxa"/>
              <w:end w:w="120" w:type="dxa"/>
            </w:tcMar>
          </w:tcPr>
          <w:p>
            <w:r>
              <w:t>Intended result</w:t>
            </w:r>
          </w:p>
        </w:tc>
      </w:tr>
      <w:tr>
        <w:tc>
          <w:tcPr>
            <w:tcW w:type="dxa" w:w="2736"/>
            <w:vAlign w:val="top"/>
            <w:tcMar>
              <w:top w:w="80" w:type="dxa"/>
              <w:start w:w="120" w:type="dxa"/>
              <w:bottom w:w="80" w:type="dxa"/>
              <w:end w:w="120" w:type="dxa"/>
            </w:tcMar>
          </w:tcPr>
          <w:p>
            <w:r>
              <w:t>1. Direction &amp; ownership</w:t>
            </w:r>
          </w:p>
        </w:tc>
        <w:tc>
          <w:tcPr>
            <w:tcW w:type="dxa" w:w="6624"/>
            <w:vAlign w:val="top"/>
            <w:tcMar>
              <w:top w:w="80" w:type="dxa"/>
              <w:start w:w="120" w:type="dxa"/>
              <w:bottom w:w="80" w:type="dxa"/>
              <w:end w:w="120" w:type="dxa"/>
            </w:tcMar>
          </w:tcPr>
          <w:p>
            <w:r>
              <w:t>Clear purpose, scope, objectives, ownership and interfaces.</w:t>
            </w:r>
          </w:p>
        </w:tc>
      </w:tr>
      <w:tr>
        <w:tc>
          <w:tcPr>
            <w:tcW w:type="dxa" w:w="2736"/>
            <w:vAlign w:val="top"/>
            <w:tcMar>
              <w:top w:w="80" w:type="dxa"/>
              <w:start w:w="120" w:type="dxa"/>
              <w:bottom w:w="80" w:type="dxa"/>
              <w:end w:w="120" w:type="dxa"/>
            </w:tcMar>
          </w:tcPr>
          <w:p>
            <w:r>
              <w:t>2. Market &amp; qualification</w:t>
            </w:r>
          </w:p>
        </w:tc>
        <w:tc>
          <w:tcPr>
            <w:tcW w:type="dxa" w:w="6624"/>
            <w:vAlign w:val="top"/>
            <w:tcMar>
              <w:top w:w="80" w:type="dxa"/>
              <w:start w:w="120" w:type="dxa"/>
              <w:bottom w:w="80" w:type="dxa"/>
              <w:end w:w="120" w:type="dxa"/>
            </w:tcMar>
          </w:tcPr>
          <w:p>
            <w:r>
              <w:t>Effort directed toward credible customer and business value.</w:t>
            </w:r>
          </w:p>
        </w:tc>
      </w:tr>
      <w:tr>
        <w:tc>
          <w:tcPr>
            <w:tcW w:type="dxa" w:w="2736"/>
            <w:vAlign w:val="top"/>
            <w:tcMar>
              <w:top w:w="80" w:type="dxa"/>
              <w:start w:w="120" w:type="dxa"/>
              <w:bottom w:w="80" w:type="dxa"/>
              <w:end w:w="120" w:type="dxa"/>
            </w:tcMar>
          </w:tcPr>
          <w:p>
            <w:r>
              <w:t>3. Customer requirements</w:t>
            </w:r>
          </w:p>
        </w:tc>
        <w:tc>
          <w:tcPr>
            <w:tcW w:type="dxa" w:w="6624"/>
            <w:vAlign w:val="top"/>
            <w:tcMar>
              <w:top w:w="80" w:type="dxa"/>
              <w:start w:w="120" w:type="dxa"/>
              <w:bottom w:w="80" w:type="dxa"/>
              <w:end w:w="120" w:type="dxa"/>
            </w:tcMar>
          </w:tcPr>
          <w:p>
            <w:r>
              <w:t>Shared, traceable understanding before recommendation.</w:t>
            </w:r>
          </w:p>
        </w:tc>
      </w:tr>
      <w:tr>
        <w:tc>
          <w:tcPr>
            <w:tcW w:type="dxa" w:w="2736"/>
            <w:vAlign w:val="top"/>
            <w:tcMar>
              <w:top w:w="80" w:type="dxa"/>
              <w:start w:w="120" w:type="dxa"/>
              <w:bottom w:w="80" w:type="dxa"/>
              <w:end w:w="120" w:type="dxa"/>
            </w:tcMar>
          </w:tcPr>
          <w:p>
            <w:r>
              <w:t>4. Solution &amp; feasibility</w:t>
            </w:r>
          </w:p>
        </w:tc>
        <w:tc>
          <w:tcPr>
            <w:tcW w:type="dxa" w:w="6624"/>
            <w:vAlign w:val="top"/>
            <w:tcMar>
              <w:top w:w="80" w:type="dxa"/>
              <w:start w:w="120" w:type="dxa"/>
              <w:bottom w:w="80" w:type="dxa"/>
              <w:end w:w="120" w:type="dxa"/>
            </w:tcMar>
          </w:tcPr>
          <w:p>
            <w:r>
              <w:t>A feasible response with tested assumptions and dependencies.</w:t>
            </w:r>
          </w:p>
        </w:tc>
      </w:tr>
      <w:tr>
        <w:tc>
          <w:tcPr>
            <w:tcW w:type="dxa" w:w="2736"/>
            <w:vAlign w:val="top"/>
            <w:tcMar>
              <w:top w:w="80" w:type="dxa"/>
              <w:start w:w="120" w:type="dxa"/>
              <w:bottom w:w="80" w:type="dxa"/>
              <w:end w:w="120" w:type="dxa"/>
            </w:tcMar>
          </w:tcPr>
          <w:p>
            <w:r>
              <w:t>5. Offer &amp; commitment</w:t>
            </w:r>
          </w:p>
        </w:tc>
        <w:tc>
          <w:tcPr>
            <w:tcW w:type="dxa" w:w="6624"/>
            <w:vAlign w:val="top"/>
            <w:tcMar>
              <w:top w:w="80" w:type="dxa"/>
              <w:start w:w="120" w:type="dxa"/>
              <w:bottom w:w="80" w:type="dxa"/>
              <w:end w:w="120" w:type="dxa"/>
            </w:tcMar>
          </w:tcPr>
          <w:p>
            <w:r>
              <w:t>Clear, authorised promises reviewed in proportion to risk.</w:t>
            </w:r>
          </w:p>
        </w:tc>
      </w:tr>
      <w:tr>
        <w:tc>
          <w:tcPr>
            <w:tcW w:type="dxa" w:w="2736"/>
            <w:vAlign w:val="top"/>
            <w:tcMar>
              <w:top w:w="80" w:type="dxa"/>
              <w:start w:w="120" w:type="dxa"/>
              <w:bottom w:w="80" w:type="dxa"/>
              <w:end w:w="120" w:type="dxa"/>
            </w:tcMar>
          </w:tcPr>
          <w:p>
            <w:r>
              <w:t>6. Contract &amp; handover</w:t>
            </w:r>
          </w:p>
        </w:tc>
        <w:tc>
          <w:tcPr>
            <w:tcW w:type="dxa" w:w="6624"/>
            <w:vAlign w:val="top"/>
            <w:tcMar>
              <w:top w:w="80" w:type="dxa"/>
              <w:start w:w="120" w:type="dxa"/>
              <w:bottom w:w="80" w:type="dxa"/>
              <w:end w:w="120" w:type="dxa"/>
            </w:tcMar>
          </w:tcPr>
          <w:p>
            <w:r>
              <w:t>Complete usable information transferred into delivery.</w:t>
            </w:r>
          </w:p>
        </w:tc>
      </w:tr>
      <w:tr>
        <w:tc>
          <w:tcPr>
            <w:tcW w:type="dxa" w:w="2736"/>
            <w:vAlign w:val="top"/>
            <w:tcMar>
              <w:top w:w="80" w:type="dxa"/>
              <w:start w:w="120" w:type="dxa"/>
              <w:bottom w:w="80" w:type="dxa"/>
              <w:end w:w="120" w:type="dxa"/>
            </w:tcMar>
          </w:tcPr>
          <w:p>
            <w:r>
              <w:t>7. Outcome &amp; feedback</w:t>
            </w:r>
          </w:p>
        </w:tc>
        <w:tc>
          <w:tcPr>
            <w:tcW w:type="dxa" w:w="6624"/>
            <w:vAlign w:val="top"/>
            <w:tcMar>
              <w:top w:w="80" w:type="dxa"/>
              <w:start w:w="120" w:type="dxa"/>
              <w:bottom w:w="80" w:type="dxa"/>
              <w:end w:w="120" w:type="dxa"/>
            </w:tcMar>
          </w:tcPr>
          <w:p>
            <w:r>
              <w:t>Customer, delivery and commercial results verified.</w:t>
            </w:r>
          </w:p>
        </w:tc>
      </w:tr>
      <w:tr>
        <w:tc>
          <w:tcPr>
            <w:tcW w:type="dxa" w:w="2736"/>
            <w:vAlign w:val="top"/>
            <w:tcMar>
              <w:top w:w="80" w:type="dxa"/>
              <w:start w:w="120" w:type="dxa"/>
              <w:bottom w:w="80" w:type="dxa"/>
              <w:end w:w="120" w:type="dxa"/>
            </w:tcMar>
          </w:tcPr>
          <w:p>
            <w:r>
              <w:t>8. Learning &amp; improvement</w:t>
            </w:r>
          </w:p>
        </w:tc>
        <w:tc>
          <w:tcPr>
            <w:tcW w:type="dxa" w:w="6624"/>
            <w:vAlign w:val="top"/>
            <w:tcMar>
              <w:top w:w="80" w:type="dxa"/>
              <w:start w:w="120" w:type="dxa"/>
              <w:bottom w:w="80" w:type="dxa"/>
              <w:end w:w="120" w:type="dxa"/>
            </w:tcMar>
          </w:tcPr>
          <w:p>
            <w:r>
              <w:t>Evidence converted into sustained system change.</w:t>
            </w:r>
          </w:p>
        </w:tc>
      </w:tr>
    </w:tbl>
    <w:p>
      <w:pPr>
        <w:pStyle w:val="Heading1"/>
      </w:pPr>
      <w:r>
        <w:t>Implementation roadmap</w:t>
      </w:r>
    </w:p>
    <w:p>
      <w:pPr>
        <w:pStyle w:val="ListNumber"/>
      </w:pPr>
      <w:r>
        <w:t>Establish the mandate: define scope, intended customer outcomes, business objectives, owner and interfaces.</w:t>
      </w:r>
    </w:p>
    <w:p>
      <w:pPr>
        <w:pStyle w:val="ListNumber"/>
      </w:pPr>
      <w:r>
        <w:t>Map reality: observe the actual flow, decisions, handovers, variation and failure demand.</w:t>
      </w:r>
    </w:p>
    <w:p>
      <w:pPr>
        <w:pStyle w:val="ListNumber"/>
      </w:pPr>
      <w:r>
        <w:t>Design controls: define proportionate criteria, approvals, evidence and escalation paths.</w:t>
      </w:r>
    </w:p>
    <w:p>
      <w:pPr>
        <w:pStyle w:val="ListNumber"/>
      </w:pPr>
      <w:r>
        <w:t>Enable people: align competence, tools, coaching and shared language.</w:t>
      </w:r>
    </w:p>
    <w:p>
      <w:pPr>
        <w:pStyle w:val="ListNumber"/>
      </w:pPr>
      <w:r>
        <w:t>Pilot and measure: test with a bounded team, segment or offer and collect evidence.</w:t>
      </w:r>
    </w:p>
    <w:p>
      <w:pPr>
        <w:pStyle w:val="ListNumber"/>
      </w:pPr>
      <w:r>
        <w:t>Review and improve: audit usefulness, analyse results and remove causes of variation.</w:t>
      </w:r>
    </w:p>
    <w:p>
      <w:pPr>
        <w:pStyle w:val="Heading1"/>
      </w:pPr>
      <w:r>
        <w:t>Minimum viable SaleQMS</w:t>
      </w:r>
    </w:p>
    <w:p>
      <w:pPr>
        <w:pStyle w:val="ListBullet"/>
      </w:pPr>
      <w:r>
        <w:t>Named process owner and defined purpose.</w:t>
      </w:r>
    </w:p>
    <w:p>
      <w:pPr>
        <w:pStyle w:val="ListBullet"/>
      </w:pPr>
      <w:r>
        <w:t>Opportunity and customer-requirement criteria.</w:t>
      </w:r>
    </w:p>
    <w:p>
      <w:pPr>
        <w:pStyle w:val="ListBullet"/>
      </w:pPr>
      <w:r>
        <w:t>Commercial risk and feasibility review.</w:t>
      </w:r>
    </w:p>
    <w:p>
      <w:pPr>
        <w:pStyle w:val="ListBullet"/>
      </w:pPr>
      <w:r>
        <w:t>Controlled offer, commitment and change approval.</w:t>
      </w:r>
    </w:p>
    <w:p>
      <w:pPr>
        <w:pStyle w:val="ListBullet"/>
      </w:pPr>
      <w:r>
        <w:t>Defined sales-to-delivery handover.</w:t>
      </w:r>
    </w:p>
    <w:p>
      <w:pPr>
        <w:pStyle w:val="ListBullet"/>
      </w:pPr>
      <w:r>
        <w:t>Balanced performance measures.</w:t>
      </w:r>
    </w:p>
    <w:p>
      <w:pPr>
        <w:pStyle w:val="ListBullet"/>
      </w:pPr>
      <w:r>
        <w:t>Recurring review and improvement cadence.</w:t>
      </w:r>
    </w:p>
    <w:p>
      <w:pPr>
        <w:pStyle w:val="Heading1"/>
      </w:pPr>
      <w:r>
        <w:t>Process definition worksheet</w:t>
      </w:r>
    </w:p>
    <w:tbl>
      <w:tblPr>
        <w:tblW w:type="auto" w:w="0"/>
        <w:jc w:val="left"/>
        <w:tblLayout w:type="fixed"/>
        <w:tblLook w:firstColumn="1" w:firstRow="1" w:lastColumn="0" w:lastRow="0" w:noHBand="0" w:noVBand="1" w:val="04A0"/>
      </w:tblPr>
      <w:tblGrid>
        <w:gridCol w:w="4680"/>
        <w:gridCol w:w="4680"/>
      </w:tblGrid>
      <w:tr>
        <w:trPr>
          <w:tblHeader w:val="true"/>
        </w:trPr>
        <w:tc>
          <w:tcPr>
            <w:tcW w:type="dxa" w:w="2736"/>
            <w:shd w:fill="DFF5A2"/>
            <w:vAlign w:val="top"/>
            <w:tcMar>
              <w:top w:w="80" w:type="dxa"/>
              <w:start w:w="120" w:type="dxa"/>
              <w:bottom w:w="80" w:type="dxa"/>
              <w:end w:w="120" w:type="dxa"/>
            </w:tcMar>
          </w:tcPr>
          <w:p>
            <w:r>
              <w:t>Field</w:t>
            </w:r>
          </w:p>
        </w:tc>
        <w:tc>
          <w:tcPr>
            <w:tcW w:type="dxa" w:w="6624"/>
            <w:shd w:fill="DFF5A2"/>
            <w:vAlign w:val="top"/>
            <w:tcMar>
              <w:top w:w="80" w:type="dxa"/>
              <w:start w:w="120" w:type="dxa"/>
              <w:bottom w:w="80" w:type="dxa"/>
              <w:end w:w="120" w:type="dxa"/>
            </w:tcMar>
          </w:tcPr>
          <w:p>
            <w:r>
              <w:t>Organisation response</w:t>
            </w:r>
          </w:p>
        </w:tc>
      </w:tr>
      <w:tr>
        <w:tc>
          <w:tcPr>
            <w:tcW w:type="dxa" w:w="2736"/>
            <w:vAlign w:val="top"/>
            <w:tcMar>
              <w:top w:w="80" w:type="dxa"/>
              <w:start w:w="120" w:type="dxa"/>
              <w:bottom w:w="80" w:type="dxa"/>
              <w:end w:w="120" w:type="dxa"/>
            </w:tcMar>
          </w:tcPr>
          <w:p>
            <w:r>
              <w:t>Purpose</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Scope and boundaries</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Process owner</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Customers / interested parties</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Inputs</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Outputs</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Interfaces</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Key decisions</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Risks and controls</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Measures</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Review cadence</w:t>
            </w:r>
          </w:p>
        </w:tc>
        <w:tc>
          <w:tcPr>
            <w:tcW w:type="dxa" w:w="6624"/>
            <w:vAlign w:val="top"/>
            <w:tcMar>
              <w:top w:w="80" w:type="dxa"/>
              <w:start w:w="120" w:type="dxa"/>
              <w:bottom w:w="80" w:type="dxa"/>
              <w:end w:w="120" w:type="dxa"/>
            </w:tcMar>
          </w:tcPr>
          <w:p>
            <w:r/>
          </w:p>
        </w:tc>
      </w:tr>
    </w:tbl>
    <w:p>
      <w:pPr>
        <w:pStyle w:val="Heading1"/>
      </w:pPr>
      <w:r>
        <w:t>Commercial risk review</w:t>
      </w:r>
    </w:p>
    <w:tbl>
      <w:tblPr>
        <w:tblW w:type="auto" w:w="0"/>
        <w:jc w:val="left"/>
        <w:tblLayout w:type="fixed"/>
        <w:tblLook w:firstColumn="1" w:firstRow="1" w:lastColumn="0" w:lastRow="0" w:noHBand="0" w:noVBand="1" w:val="04A0"/>
      </w:tblPr>
      <w:tblGrid>
        <w:gridCol w:w="4680"/>
        <w:gridCol w:w="4680"/>
      </w:tblGrid>
      <w:tr>
        <w:trPr>
          <w:tblHeader w:val="true"/>
        </w:trPr>
        <w:tc>
          <w:tcPr>
            <w:tcW w:type="dxa" w:w="2736"/>
            <w:shd w:fill="DFF5A2"/>
            <w:vAlign w:val="top"/>
            <w:tcMar>
              <w:top w:w="80" w:type="dxa"/>
              <w:start w:w="120" w:type="dxa"/>
              <w:bottom w:w="80" w:type="dxa"/>
              <w:end w:w="120" w:type="dxa"/>
            </w:tcMar>
          </w:tcPr>
          <w:p>
            <w:r>
              <w:t>Risk lens</w:t>
            </w:r>
          </w:p>
        </w:tc>
        <w:tc>
          <w:tcPr>
            <w:tcW w:type="dxa" w:w="6624"/>
            <w:shd w:fill="DFF5A2"/>
            <w:vAlign w:val="top"/>
            <w:tcMar>
              <w:top w:w="80" w:type="dxa"/>
              <w:start w:w="120" w:type="dxa"/>
              <w:bottom w:w="80" w:type="dxa"/>
              <w:end w:w="120" w:type="dxa"/>
            </w:tcMar>
          </w:tcPr>
          <w:p>
            <w:r>
              <w:t>Prompt / evidence</w:t>
            </w:r>
          </w:p>
        </w:tc>
      </w:tr>
      <w:tr>
        <w:tc>
          <w:tcPr>
            <w:tcW w:type="dxa" w:w="2736"/>
            <w:vAlign w:val="top"/>
            <w:tcMar>
              <w:top w:w="80" w:type="dxa"/>
              <w:start w:w="120" w:type="dxa"/>
              <w:bottom w:w="80" w:type="dxa"/>
              <w:end w:w="120" w:type="dxa"/>
            </w:tcMar>
          </w:tcPr>
          <w:p>
            <w:r>
              <w:t>Customer fit</w:t>
            </w:r>
          </w:p>
        </w:tc>
        <w:tc>
          <w:tcPr>
            <w:tcW w:type="dxa" w:w="6624"/>
            <w:vAlign w:val="top"/>
            <w:tcMar>
              <w:top w:w="80" w:type="dxa"/>
              <w:start w:w="120" w:type="dxa"/>
              <w:bottom w:w="80" w:type="dxa"/>
              <w:end w:w="120" w:type="dxa"/>
            </w:tcMar>
          </w:tcPr>
          <w:p>
            <w:r>
              <w:t>Is the problem real, important and understood by the right stakeholders?</w:t>
            </w:r>
          </w:p>
        </w:tc>
      </w:tr>
      <w:tr>
        <w:tc>
          <w:tcPr>
            <w:tcW w:type="dxa" w:w="2736"/>
            <w:vAlign w:val="top"/>
            <w:tcMar>
              <w:top w:w="80" w:type="dxa"/>
              <w:start w:w="120" w:type="dxa"/>
              <w:bottom w:w="80" w:type="dxa"/>
              <w:end w:w="120" w:type="dxa"/>
            </w:tcMar>
          </w:tcPr>
          <w:p>
            <w:r>
              <w:t>Requirements</w:t>
            </w:r>
          </w:p>
        </w:tc>
        <w:tc>
          <w:tcPr>
            <w:tcW w:type="dxa" w:w="6624"/>
            <w:vAlign w:val="top"/>
            <w:tcMar>
              <w:top w:w="80" w:type="dxa"/>
              <w:start w:w="120" w:type="dxa"/>
              <w:bottom w:w="80" w:type="dxa"/>
              <w:end w:w="120" w:type="dxa"/>
            </w:tcMar>
          </w:tcPr>
          <w:p>
            <w:r>
              <w:t>Are needs, constraints, acceptance criteria and changes sufficiently clear?</w:t>
            </w:r>
          </w:p>
        </w:tc>
      </w:tr>
      <w:tr>
        <w:tc>
          <w:tcPr>
            <w:tcW w:type="dxa" w:w="2736"/>
            <w:vAlign w:val="top"/>
            <w:tcMar>
              <w:top w:w="80" w:type="dxa"/>
              <w:start w:w="120" w:type="dxa"/>
              <w:bottom w:w="80" w:type="dxa"/>
              <w:end w:w="120" w:type="dxa"/>
            </w:tcMar>
          </w:tcPr>
          <w:p>
            <w:r>
              <w:t>Feasibility</w:t>
            </w:r>
          </w:p>
        </w:tc>
        <w:tc>
          <w:tcPr>
            <w:tcW w:type="dxa" w:w="6624"/>
            <w:vAlign w:val="top"/>
            <w:tcMar>
              <w:top w:w="80" w:type="dxa"/>
              <w:start w:w="120" w:type="dxa"/>
              <w:bottom w:w="80" w:type="dxa"/>
              <w:end w:w="120" w:type="dxa"/>
            </w:tcMar>
          </w:tcPr>
          <w:p>
            <w:r>
              <w:t>Can capability, capacity, dependencies and timing support the promise?</w:t>
            </w:r>
          </w:p>
        </w:tc>
      </w:tr>
      <w:tr>
        <w:tc>
          <w:tcPr>
            <w:tcW w:type="dxa" w:w="2736"/>
            <w:vAlign w:val="top"/>
            <w:tcMar>
              <w:top w:w="80" w:type="dxa"/>
              <w:start w:w="120" w:type="dxa"/>
              <w:bottom w:w="80" w:type="dxa"/>
              <w:end w:w="120" w:type="dxa"/>
            </w:tcMar>
          </w:tcPr>
          <w:p>
            <w:r>
              <w:t>Commercial</w:t>
            </w:r>
          </w:p>
        </w:tc>
        <w:tc>
          <w:tcPr>
            <w:tcW w:type="dxa" w:w="6624"/>
            <w:vAlign w:val="top"/>
            <w:tcMar>
              <w:top w:w="80" w:type="dxa"/>
              <w:start w:w="120" w:type="dxa"/>
              <w:bottom w:w="80" w:type="dxa"/>
              <w:end w:w="120" w:type="dxa"/>
            </w:tcMar>
          </w:tcPr>
          <w:p>
            <w:r>
              <w:t>Are price, margin, cash exposure, terms and exceptions acceptable?</w:t>
            </w:r>
          </w:p>
        </w:tc>
      </w:tr>
      <w:tr>
        <w:tc>
          <w:tcPr>
            <w:tcW w:type="dxa" w:w="2736"/>
            <w:vAlign w:val="top"/>
            <w:tcMar>
              <w:top w:w="80" w:type="dxa"/>
              <w:start w:w="120" w:type="dxa"/>
              <w:bottom w:w="80" w:type="dxa"/>
              <w:end w:w="120" w:type="dxa"/>
            </w:tcMar>
          </w:tcPr>
          <w:p>
            <w:r>
              <w:t>Compliance</w:t>
            </w:r>
          </w:p>
        </w:tc>
        <w:tc>
          <w:tcPr>
            <w:tcW w:type="dxa" w:w="6624"/>
            <w:vAlign w:val="top"/>
            <w:tcMar>
              <w:top w:w="80" w:type="dxa"/>
              <w:start w:w="120" w:type="dxa"/>
              <w:bottom w:w="80" w:type="dxa"/>
              <w:end w:w="120" w:type="dxa"/>
            </w:tcMar>
          </w:tcPr>
          <w:p>
            <w:r>
              <w:t>Are legal, regulatory, security and contractual obligations understood?</w:t>
            </w:r>
          </w:p>
        </w:tc>
      </w:tr>
      <w:tr>
        <w:tc>
          <w:tcPr>
            <w:tcW w:type="dxa" w:w="2736"/>
            <w:vAlign w:val="top"/>
            <w:tcMar>
              <w:top w:w="80" w:type="dxa"/>
              <w:start w:w="120" w:type="dxa"/>
              <w:bottom w:w="80" w:type="dxa"/>
              <w:end w:w="120" w:type="dxa"/>
            </w:tcMar>
          </w:tcPr>
          <w:p>
            <w:r>
              <w:t>Change / novelty</w:t>
            </w:r>
          </w:p>
        </w:tc>
        <w:tc>
          <w:tcPr>
            <w:tcW w:type="dxa" w:w="6624"/>
            <w:vAlign w:val="top"/>
            <w:tcMar>
              <w:top w:w="80" w:type="dxa"/>
              <w:start w:w="120" w:type="dxa"/>
              <w:bottom w:w="80" w:type="dxa"/>
              <w:end w:w="120" w:type="dxa"/>
            </w:tcMar>
          </w:tcPr>
          <w:p>
            <w:r>
              <w:t>What is new, untested or outside normal operating conditions?</w:t>
            </w:r>
          </w:p>
        </w:tc>
      </w:tr>
      <w:tr>
        <w:tc>
          <w:tcPr>
            <w:tcW w:type="dxa" w:w="2736"/>
            <w:vAlign w:val="top"/>
            <w:tcMar>
              <w:top w:w="80" w:type="dxa"/>
              <w:start w:w="120" w:type="dxa"/>
              <w:bottom w:w="80" w:type="dxa"/>
              <w:end w:w="120" w:type="dxa"/>
            </w:tcMar>
          </w:tcPr>
          <w:p>
            <w:r>
              <w:t>Decision</w:t>
            </w:r>
          </w:p>
        </w:tc>
        <w:tc>
          <w:tcPr>
            <w:tcW w:type="dxa" w:w="6624"/>
            <w:vAlign w:val="top"/>
            <w:tcMar>
              <w:top w:w="80" w:type="dxa"/>
              <w:start w:w="120" w:type="dxa"/>
              <w:bottom w:w="80" w:type="dxa"/>
              <w:end w:w="120" w:type="dxa"/>
            </w:tcMar>
          </w:tcPr>
          <w:p>
            <w:r>
              <w:t>Proceed / proceed with actions / escalate / decline.</w:t>
            </w:r>
          </w:p>
        </w:tc>
      </w:tr>
    </w:tbl>
    <w:p>
      <w:pPr>
        <w:pStyle w:val="Heading1"/>
      </w:pPr>
      <w:r>
        <w:t>Customer requirement record</w:t>
      </w:r>
    </w:p>
    <w:tbl>
      <w:tblPr>
        <w:tblW w:type="auto" w:w="0"/>
        <w:jc w:val="left"/>
        <w:tblLayout w:type="fixed"/>
        <w:tblLook w:firstColumn="1" w:firstRow="1" w:lastColumn="0" w:lastRow="0" w:noHBand="0" w:noVBand="1" w:val="04A0"/>
      </w:tblPr>
      <w:tblGrid>
        <w:gridCol w:w="4680"/>
        <w:gridCol w:w="4680"/>
      </w:tblGrid>
      <w:tr>
        <w:trPr>
          <w:tblHeader w:val="true"/>
        </w:trPr>
        <w:tc>
          <w:tcPr>
            <w:tcW w:type="dxa" w:w="2736"/>
            <w:shd w:fill="DFF5A2"/>
            <w:vAlign w:val="top"/>
            <w:tcMar>
              <w:top w:w="80" w:type="dxa"/>
              <w:start w:w="120" w:type="dxa"/>
              <w:bottom w:w="80" w:type="dxa"/>
              <w:end w:w="120" w:type="dxa"/>
            </w:tcMar>
          </w:tcPr>
          <w:p>
            <w:r>
              <w:t>Field</w:t>
            </w:r>
          </w:p>
        </w:tc>
        <w:tc>
          <w:tcPr>
            <w:tcW w:type="dxa" w:w="6624"/>
            <w:shd w:fill="DFF5A2"/>
            <w:vAlign w:val="top"/>
            <w:tcMar>
              <w:top w:w="80" w:type="dxa"/>
              <w:start w:w="120" w:type="dxa"/>
              <w:bottom w:w="80" w:type="dxa"/>
              <w:end w:w="120" w:type="dxa"/>
            </w:tcMar>
          </w:tcPr>
          <w:p>
            <w:r>
              <w:t>Record</w:t>
            </w:r>
          </w:p>
        </w:tc>
      </w:tr>
      <w:tr>
        <w:tc>
          <w:tcPr>
            <w:tcW w:type="dxa" w:w="2736"/>
            <w:vAlign w:val="top"/>
            <w:tcMar>
              <w:top w:w="80" w:type="dxa"/>
              <w:start w:w="120" w:type="dxa"/>
              <w:bottom w:w="80" w:type="dxa"/>
              <w:end w:w="120" w:type="dxa"/>
            </w:tcMar>
          </w:tcPr>
          <w:p>
            <w:r>
              <w:t>Customer objective / intended outcome</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Users and stakeholders</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Explicit requirements</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Implicit or derived needs</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Constraints and obligations</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Assumptions to validate</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Acceptance criteria</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Changes and approvals</w:t>
            </w:r>
          </w:p>
        </w:tc>
        <w:tc>
          <w:tcPr>
            <w:tcW w:type="dxa" w:w="6624"/>
            <w:vAlign w:val="top"/>
            <w:tcMar>
              <w:top w:w="80" w:type="dxa"/>
              <w:start w:w="120" w:type="dxa"/>
              <w:bottom w:w="80" w:type="dxa"/>
              <w:end w:w="120" w:type="dxa"/>
            </w:tcMar>
          </w:tcPr>
          <w:p>
            <w:r/>
          </w:p>
        </w:tc>
      </w:tr>
      <w:tr>
        <w:tc>
          <w:tcPr>
            <w:tcW w:type="dxa" w:w="2736"/>
            <w:vAlign w:val="top"/>
            <w:tcMar>
              <w:top w:w="80" w:type="dxa"/>
              <w:start w:w="120" w:type="dxa"/>
              <w:bottom w:w="80" w:type="dxa"/>
              <w:end w:w="120" w:type="dxa"/>
            </w:tcMar>
          </w:tcPr>
          <w:p>
            <w:r>
              <w:t>Confirmation method and date</w:t>
            </w:r>
          </w:p>
        </w:tc>
        <w:tc>
          <w:tcPr>
            <w:tcW w:type="dxa" w:w="6624"/>
            <w:vAlign w:val="top"/>
            <w:tcMar>
              <w:top w:w="80" w:type="dxa"/>
              <w:start w:w="120" w:type="dxa"/>
              <w:bottom w:w="80" w:type="dxa"/>
              <w:end w:w="120" w:type="dxa"/>
            </w:tcMar>
          </w:tcPr>
          <w:p>
            <w:r/>
          </w:p>
        </w:tc>
      </w:tr>
    </w:tbl>
    <w:p>
      <w:pPr>
        <w:pStyle w:val="Heading1"/>
      </w:pPr>
      <w:r>
        <w:t>Offer and commitment review</w:t>
      </w:r>
    </w:p>
    <w:p>
      <w:pPr>
        <w:pStyle w:val="ListBullet"/>
      </w:pPr>
      <w:r>
        <w:t>The offer addresses confirmed requirements and intended outcomes.</w:t>
      </w:r>
    </w:p>
    <w:p>
      <w:pPr>
        <w:pStyle w:val="ListBullet"/>
      </w:pPr>
      <w:r>
        <w:t>Scope, exclusions, assumptions and dependencies are explicit.</w:t>
      </w:r>
    </w:p>
    <w:p>
      <w:pPr>
        <w:pStyle w:val="ListBullet"/>
      </w:pPr>
      <w:r>
        <w:t>Delivery capability and capacity have been confirmed.</w:t>
      </w:r>
    </w:p>
    <w:p>
      <w:pPr>
        <w:pStyle w:val="ListBullet"/>
      </w:pPr>
      <w:r>
        <w:t>Price, margin, terms and risk are within authority.</w:t>
      </w:r>
    </w:p>
    <w:p>
      <w:pPr>
        <w:pStyle w:val="ListBullet"/>
      </w:pPr>
      <w:r>
        <w:t>Non-standard commitments and exceptions are approved.</w:t>
      </w:r>
    </w:p>
    <w:p>
      <w:pPr>
        <w:pStyle w:val="ListBullet"/>
      </w:pPr>
      <w:r>
        <w:t>Claims and evidence are accurate and supportable.</w:t>
      </w:r>
    </w:p>
    <w:p>
      <w:pPr>
        <w:pStyle w:val="ListBullet"/>
      </w:pPr>
      <w:r>
        <w:t>The final commitment baseline can be handed over and traced.</w:t>
      </w:r>
    </w:p>
    <w:p>
      <w:pPr>
        <w:pStyle w:val="Heading1"/>
      </w:pPr>
      <w:r>
        <w:t>Sales-to-delivery handover</w:t>
      </w:r>
    </w:p>
    <w:p>
      <w:pPr>
        <w:pStyle w:val="ListBullet"/>
      </w:pPr>
      <w:r>
        <w:t>Customer, users and intended outcomes are clear.</w:t>
      </w:r>
    </w:p>
    <w:p>
      <w:pPr>
        <w:pStyle w:val="ListBullet"/>
      </w:pPr>
      <w:r>
        <w:t>Accepted scope, exclusions and acceptance criteria are recorded.</w:t>
      </w:r>
    </w:p>
    <w:p>
      <w:pPr>
        <w:pStyle w:val="ListBullet"/>
      </w:pPr>
      <w:r>
        <w:t>Commercial and delivery commitments agree.</w:t>
      </w:r>
    </w:p>
    <w:p>
      <w:pPr>
        <w:pStyle w:val="ListBullet"/>
      </w:pPr>
      <w:r>
        <w:t>Assumptions, dependencies and risks are visible.</w:t>
      </w:r>
    </w:p>
    <w:p>
      <w:pPr>
        <w:pStyle w:val="ListBullet"/>
      </w:pPr>
      <w:r>
        <w:t>Changes since the offer are approved and traceable.</w:t>
      </w:r>
    </w:p>
    <w:p>
      <w:pPr>
        <w:pStyle w:val="ListBullet"/>
      </w:pPr>
      <w:r>
        <w:t>Owners, timing and communication routes are agreed.</w:t>
      </w:r>
    </w:p>
    <w:p>
      <w:pPr>
        <w:pStyle w:val="ListBullet"/>
      </w:pPr>
      <w:r>
        <w:t>The receiving function confirms information is sufficient.</w:t>
      </w:r>
    </w:p>
    <w:p>
      <w:pPr>
        <w:pStyle w:val="Heading1"/>
      </w:pPr>
      <w:r>
        <w:t>Measurement dictionary</w:t>
      </w:r>
    </w:p>
    <w:tbl>
      <w:tblPr>
        <w:tblW w:type="auto" w:w="0"/>
        <w:jc w:val="left"/>
        <w:tblLayout w:type="fixed"/>
        <w:tblLook w:firstColumn="1" w:firstRow="1" w:lastColumn="0" w:lastRow="0" w:noHBand="0" w:noVBand="1" w:val="04A0"/>
      </w:tblPr>
      <w:tblGrid>
        <w:gridCol w:w="3120"/>
        <w:gridCol w:w="3120"/>
        <w:gridCol w:w="3120"/>
      </w:tblGrid>
      <w:tr>
        <w:trPr>
          <w:tblHeader w:val="true"/>
        </w:trPr>
        <w:tc>
          <w:tcPr>
            <w:tcW w:type="dxa" w:w="1872"/>
            <w:shd w:fill="DFF5A2"/>
            <w:vAlign w:val="top"/>
            <w:tcMar>
              <w:top w:w="80" w:type="dxa"/>
              <w:start w:w="120" w:type="dxa"/>
              <w:bottom w:w="80" w:type="dxa"/>
              <w:end w:w="120" w:type="dxa"/>
            </w:tcMar>
          </w:tcPr>
          <w:p>
            <w:r>
              <w:t>Lens</w:t>
            </w:r>
          </w:p>
        </w:tc>
        <w:tc>
          <w:tcPr>
            <w:tcW w:type="dxa" w:w="3312"/>
            <w:shd w:fill="DFF5A2"/>
            <w:vAlign w:val="top"/>
            <w:tcMar>
              <w:top w:w="80" w:type="dxa"/>
              <w:start w:w="120" w:type="dxa"/>
              <w:bottom w:w="80" w:type="dxa"/>
              <w:end w:w="120" w:type="dxa"/>
            </w:tcMar>
          </w:tcPr>
          <w:p>
            <w:r>
              <w:t>Examples</w:t>
            </w:r>
          </w:p>
        </w:tc>
        <w:tc>
          <w:tcPr>
            <w:tcW w:type="dxa" w:w="4176"/>
            <w:shd w:fill="DFF5A2"/>
            <w:vAlign w:val="top"/>
            <w:tcMar>
              <w:top w:w="80" w:type="dxa"/>
              <w:start w:w="120" w:type="dxa"/>
              <w:bottom w:w="80" w:type="dxa"/>
              <w:end w:w="120" w:type="dxa"/>
            </w:tcMar>
          </w:tcPr>
          <w:p>
            <w:r>
              <w:t>Management question</w:t>
            </w:r>
          </w:p>
        </w:tc>
      </w:tr>
      <w:tr>
        <w:tc>
          <w:tcPr>
            <w:tcW w:type="dxa" w:w="1872"/>
            <w:vAlign w:val="top"/>
            <w:tcMar>
              <w:top w:w="80" w:type="dxa"/>
              <w:start w:w="120" w:type="dxa"/>
              <w:bottom w:w="80" w:type="dxa"/>
              <w:end w:w="120" w:type="dxa"/>
            </w:tcMar>
          </w:tcPr>
          <w:p>
            <w:r>
              <w:t>Revenue</w:t>
            </w:r>
          </w:p>
        </w:tc>
        <w:tc>
          <w:tcPr>
            <w:tcW w:type="dxa" w:w="3312"/>
            <w:vAlign w:val="top"/>
            <w:tcMar>
              <w:top w:w="80" w:type="dxa"/>
              <w:start w:w="120" w:type="dxa"/>
              <w:bottom w:w="80" w:type="dxa"/>
              <w:end w:w="120" w:type="dxa"/>
            </w:tcMar>
          </w:tcPr>
          <w:p>
            <w:r>
              <w:t>Qualified conversion, margin quality, retained value</w:t>
            </w:r>
          </w:p>
        </w:tc>
        <w:tc>
          <w:tcPr>
            <w:tcW w:type="dxa" w:w="4176"/>
            <w:vAlign w:val="top"/>
            <w:tcMar>
              <w:top w:w="80" w:type="dxa"/>
              <w:start w:w="120" w:type="dxa"/>
              <w:bottom w:w="80" w:type="dxa"/>
              <w:end w:w="120" w:type="dxa"/>
            </w:tcMar>
          </w:tcPr>
          <w:p>
            <w:r>
              <w:t>Are we creating the right commercial outcomes?</w:t>
            </w:r>
          </w:p>
        </w:tc>
      </w:tr>
      <w:tr>
        <w:tc>
          <w:tcPr>
            <w:tcW w:type="dxa" w:w="1872"/>
            <w:vAlign w:val="top"/>
            <w:tcMar>
              <w:top w:w="80" w:type="dxa"/>
              <w:start w:w="120" w:type="dxa"/>
              <w:bottom w:w="80" w:type="dxa"/>
              <w:end w:w="120" w:type="dxa"/>
            </w:tcMar>
          </w:tcPr>
          <w:p>
            <w:r>
              <w:t>Customer</w:t>
            </w:r>
          </w:p>
        </w:tc>
        <w:tc>
          <w:tcPr>
            <w:tcW w:type="dxa" w:w="3312"/>
            <w:vAlign w:val="top"/>
            <w:tcMar>
              <w:top w:w="80" w:type="dxa"/>
              <w:start w:w="120" w:type="dxa"/>
              <w:bottom w:w="80" w:type="dxa"/>
              <w:end w:w="120" w:type="dxa"/>
            </w:tcMar>
          </w:tcPr>
          <w:p>
            <w:r>
              <w:t>Expectation gaps, feedback, retention</w:t>
            </w:r>
          </w:p>
        </w:tc>
        <w:tc>
          <w:tcPr>
            <w:tcW w:type="dxa" w:w="4176"/>
            <w:vAlign w:val="top"/>
            <w:tcMar>
              <w:top w:w="80" w:type="dxa"/>
              <w:start w:w="120" w:type="dxa"/>
              <w:bottom w:w="80" w:type="dxa"/>
              <w:end w:w="120" w:type="dxa"/>
            </w:tcMar>
          </w:tcPr>
          <w:p>
            <w:r>
              <w:t>Are commitments relevant and trusted?</w:t>
            </w:r>
          </w:p>
        </w:tc>
      </w:tr>
      <w:tr>
        <w:tc>
          <w:tcPr>
            <w:tcW w:type="dxa" w:w="1872"/>
            <w:vAlign w:val="top"/>
            <w:tcMar>
              <w:top w:w="80" w:type="dxa"/>
              <w:start w:w="120" w:type="dxa"/>
              <w:bottom w:w="80" w:type="dxa"/>
              <w:end w:w="120" w:type="dxa"/>
            </w:tcMar>
          </w:tcPr>
          <w:p>
            <w:r>
              <w:t>Flow</w:t>
            </w:r>
          </w:p>
        </w:tc>
        <w:tc>
          <w:tcPr>
            <w:tcW w:type="dxa" w:w="3312"/>
            <w:vAlign w:val="top"/>
            <w:tcMar>
              <w:top w:w="80" w:type="dxa"/>
              <w:start w:w="120" w:type="dxa"/>
              <w:bottom w:w="80" w:type="dxa"/>
              <w:end w:w="120" w:type="dxa"/>
            </w:tcMar>
          </w:tcPr>
          <w:p>
            <w:r>
              <w:t>Decision time, ageing, handover time</w:t>
            </w:r>
          </w:p>
        </w:tc>
        <w:tc>
          <w:tcPr>
            <w:tcW w:type="dxa" w:w="4176"/>
            <w:vAlign w:val="top"/>
            <w:tcMar>
              <w:top w:w="80" w:type="dxa"/>
              <w:start w:w="120" w:type="dxa"/>
              <w:bottom w:w="80" w:type="dxa"/>
              <w:end w:w="120" w:type="dxa"/>
            </w:tcMar>
          </w:tcPr>
          <w:p>
            <w:r>
              <w:t>Where does work wait or loop?</w:t>
            </w:r>
          </w:p>
        </w:tc>
      </w:tr>
      <w:tr>
        <w:tc>
          <w:tcPr>
            <w:tcW w:type="dxa" w:w="1872"/>
            <w:vAlign w:val="top"/>
            <w:tcMar>
              <w:top w:w="80" w:type="dxa"/>
              <w:start w:w="120" w:type="dxa"/>
              <w:bottom w:w="80" w:type="dxa"/>
              <w:end w:w="120" w:type="dxa"/>
            </w:tcMar>
          </w:tcPr>
          <w:p>
            <w:r>
              <w:t>Poor-quality cost</w:t>
            </w:r>
          </w:p>
        </w:tc>
        <w:tc>
          <w:tcPr>
            <w:tcW w:type="dxa" w:w="3312"/>
            <w:vAlign w:val="top"/>
            <w:tcMar>
              <w:top w:w="80" w:type="dxa"/>
              <w:start w:w="120" w:type="dxa"/>
              <w:bottom w:w="80" w:type="dxa"/>
              <w:end w:w="120" w:type="dxa"/>
            </w:tcMar>
          </w:tcPr>
          <w:p>
            <w:r>
              <w:t>Requotes, credits, rework, avoidable pursuit</w:t>
            </w:r>
          </w:p>
        </w:tc>
        <w:tc>
          <w:tcPr>
            <w:tcW w:type="dxa" w:w="4176"/>
            <w:vAlign w:val="top"/>
            <w:tcMar>
              <w:top w:w="80" w:type="dxa"/>
              <w:start w:w="120" w:type="dxa"/>
              <w:bottom w:w="80" w:type="dxa"/>
              <w:end w:w="120" w:type="dxa"/>
            </w:tcMar>
          </w:tcPr>
          <w:p>
            <w:r>
              <w:t>What does process failure cost?</w:t>
            </w:r>
          </w:p>
        </w:tc>
      </w:tr>
      <w:tr>
        <w:tc>
          <w:tcPr>
            <w:tcW w:type="dxa" w:w="1872"/>
            <w:vAlign w:val="top"/>
            <w:tcMar>
              <w:top w:w="80" w:type="dxa"/>
              <w:start w:w="120" w:type="dxa"/>
              <w:bottom w:w="80" w:type="dxa"/>
              <w:end w:w="120" w:type="dxa"/>
            </w:tcMar>
          </w:tcPr>
          <w:p>
            <w:r>
              <w:t>Risk</w:t>
            </w:r>
          </w:p>
        </w:tc>
        <w:tc>
          <w:tcPr>
            <w:tcW w:type="dxa" w:w="3312"/>
            <w:vAlign w:val="top"/>
            <w:tcMar>
              <w:top w:w="80" w:type="dxa"/>
              <w:start w:w="120" w:type="dxa"/>
              <w:bottom w:w="80" w:type="dxa"/>
              <w:end w:w="120" w:type="dxa"/>
            </w:tcMar>
          </w:tcPr>
          <w:p>
            <w:r>
              <w:t>Exceptions, late changes, unreviewed commitments</w:t>
            </w:r>
          </w:p>
        </w:tc>
        <w:tc>
          <w:tcPr>
            <w:tcW w:type="dxa" w:w="4176"/>
            <w:vAlign w:val="top"/>
            <w:tcMar>
              <w:top w:w="80" w:type="dxa"/>
              <w:start w:w="120" w:type="dxa"/>
              <w:bottom w:w="80" w:type="dxa"/>
              <w:end w:w="120" w:type="dxa"/>
            </w:tcMar>
          </w:tcPr>
          <w:p>
            <w:r>
              <w:t>Where is exposure accumulating?</w:t>
            </w:r>
          </w:p>
        </w:tc>
      </w:tr>
      <w:tr>
        <w:tc>
          <w:tcPr>
            <w:tcW w:type="dxa" w:w="1872"/>
            <w:vAlign w:val="top"/>
            <w:tcMar>
              <w:top w:w="80" w:type="dxa"/>
              <w:start w:w="120" w:type="dxa"/>
              <w:bottom w:w="80" w:type="dxa"/>
              <w:end w:w="120" w:type="dxa"/>
            </w:tcMar>
          </w:tcPr>
          <w:p>
            <w:r>
              <w:t>Learning</w:t>
            </w:r>
          </w:p>
        </w:tc>
        <w:tc>
          <w:tcPr>
            <w:tcW w:type="dxa" w:w="3312"/>
            <w:vAlign w:val="top"/>
            <w:tcMar>
              <w:top w:w="80" w:type="dxa"/>
              <w:start w:w="120" w:type="dxa"/>
              <w:bottom w:w="80" w:type="dxa"/>
              <w:end w:w="120" w:type="dxa"/>
            </w:tcMar>
          </w:tcPr>
          <w:p>
            <w:r>
              <w:t>Recurring causes, action effect</w:t>
            </w:r>
          </w:p>
        </w:tc>
        <w:tc>
          <w:tcPr>
            <w:tcW w:type="dxa" w:w="4176"/>
            <w:vAlign w:val="top"/>
            <w:tcMar>
              <w:top w:w="80" w:type="dxa"/>
              <w:start w:w="120" w:type="dxa"/>
              <w:bottom w:w="80" w:type="dxa"/>
              <w:end w:w="120" w:type="dxa"/>
            </w:tcMar>
          </w:tcPr>
          <w:p>
            <w:r>
              <w:t>Does the system actually improve?</w:t>
            </w:r>
          </w:p>
        </w:tc>
      </w:tr>
    </w:tbl>
    <w:p>
      <w:pPr>
        <w:pStyle w:val="Heading1"/>
      </w:pPr>
      <w:r>
        <w:t>30 / 60 / 90-day action plan</w:t>
      </w:r>
    </w:p>
    <w:tbl>
      <w:tblPr>
        <w:tblW w:type="auto" w:w="0"/>
        <w:jc w:val="left"/>
        <w:tblLayout w:type="fixed"/>
        <w:tblLook w:firstColumn="1" w:firstRow="1" w:lastColumn="0" w:lastRow="0" w:noHBand="0" w:noVBand="1" w:val="04A0"/>
      </w:tblPr>
      <w:tblGrid>
        <w:gridCol w:w="3120"/>
        <w:gridCol w:w="3120"/>
        <w:gridCol w:w="3120"/>
      </w:tblGrid>
      <w:tr>
        <w:trPr>
          <w:tblHeader w:val="true"/>
        </w:trPr>
        <w:tc>
          <w:tcPr>
            <w:tcW w:type="dxa" w:w="1584"/>
            <w:shd w:fill="DFF5A2"/>
            <w:vAlign w:val="top"/>
            <w:tcMar>
              <w:top w:w="80" w:type="dxa"/>
              <w:start w:w="120" w:type="dxa"/>
              <w:bottom w:w="80" w:type="dxa"/>
              <w:end w:w="120" w:type="dxa"/>
            </w:tcMar>
          </w:tcPr>
          <w:p>
            <w:r>
              <w:t>Horizon</w:t>
            </w:r>
          </w:p>
        </w:tc>
        <w:tc>
          <w:tcPr>
            <w:tcW w:type="dxa" w:w="5184"/>
            <w:shd w:fill="DFF5A2"/>
            <w:vAlign w:val="top"/>
            <w:tcMar>
              <w:top w:w="80" w:type="dxa"/>
              <w:start w:w="120" w:type="dxa"/>
              <w:bottom w:w="80" w:type="dxa"/>
              <w:end w:w="120" w:type="dxa"/>
            </w:tcMar>
          </w:tcPr>
          <w:p>
            <w:r>
              <w:t>Focus</w:t>
            </w:r>
          </w:p>
        </w:tc>
        <w:tc>
          <w:tcPr>
            <w:tcW w:type="dxa" w:w="2592"/>
            <w:shd w:fill="DFF5A2"/>
            <w:vAlign w:val="top"/>
            <w:tcMar>
              <w:top w:w="80" w:type="dxa"/>
              <w:start w:w="120" w:type="dxa"/>
              <w:bottom w:w="80" w:type="dxa"/>
              <w:end w:w="120" w:type="dxa"/>
            </w:tcMar>
          </w:tcPr>
          <w:p>
            <w:r>
              <w:t>Owner / evidence</w:t>
            </w:r>
          </w:p>
        </w:tc>
      </w:tr>
      <w:tr>
        <w:tc>
          <w:tcPr>
            <w:tcW w:type="dxa" w:w="1584"/>
            <w:vAlign w:val="top"/>
            <w:tcMar>
              <w:top w:w="80" w:type="dxa"/>
              <w:start w:w="120" w:type="dxa"/>
              <w:bottom w:w="80" w:type="dxa"/>
              <w:end w:w="120" w:type="dxa"/>
            </w:tcMar>
          </w:tcPr>
          <w:p>
            <w:r>
              <w:t>0–30 days</w:t>
            </w:r>
          </w:p>
        </w:tc>
        <w:tc>
          <w:tcPr>
            <w:tcW w:type="dxa" w:w="5184"/>
            <w:vAlign w:val="top"/>
            <w:tcMar>
              <w:top w:w="80" w:type="dxa"/>
              <w:start w:w="120" w:type="dxa"/>
              <w:bottom w:w="80" w:type="dxa"/>
              <w:end w:w="120" w:type="dxa"/>
            </w:tcMar>
          </w:tcPr>
          <w:p>
            <w:r>
              <w:t>Agree mandate, map actual flow, establish baseline and top risks.</w:t>
            </w:r>
          </w:p>
        </w:tc>
        <w:tc>
          <w:tcPr>
            <w:tcW w:type="dxa" w:w="2592"/>
            <w:vAlign w:val="top"/>
            <w:tcMar>
              <w:top w:w="80" w:type="dxa"/>
              <w:start w:w="120" w:type="dxa"/>
              <w:bottom w:w="80" w:type="dxa"/>
              <w:end w:w="120" w:type="dxa"/>
            </w:tcMar>
          </w:tcPr>
          <w:p>
            <w:r/>
          </w:p>
        </w:tc>
      </w:tr>
      <w:tr>
        <w:tc>
          <w:tcPr>
            <w:tcW w:type="dxa" w:w="1584"/>
            <w:vAlign w:val="top"/>
            <w:tcMar>
              <w:top w:w="80" w:type="dxa"/>
              <w:start w:w="120" w:type="dxa"/>
              <w:bottom w:w="80" w:type="dxa"/>
              <w:end w:w="120" w:type="dxa"/>
            </w:tcMar>
          </w:tcPr>
          <w:p>
            <w:r>
              <w:t>31–60 days</w:t>
            </w:r>
          </w:p>
        </w:tc>
        <w:tc>
          <w:tcPr>
            <w:tcW w:type="dxa" w:w="5184"/>
            <w:vAlign w:val="top"/>
            <w:tcMar>
              <w:top w:w="80" w:type="dxa"/>
              <w:start w:w="120" w:type="dxa"/>
              <w:bottom w:w="80" w:type="dxa"/>
              <w:end w:w="120" w:type="dxa"/>
            </w:tcMar>
          </w:tcPr>
          <w:p>
            <w:r>
              <w:t>Define minimum controls, pilot with one bounded scope, coach participants.</w:t>
            </w:r>
          </w:p>
        </w:tc>
        <w:tc>
          <w:tcPr>
            <w:tcW w:type="dxa" w:w="2592"/>
            <w:vAlign w:val="top"/>
            <w:tcMar>
              <w:top w:w="80" w:type="dxa"/>
              <w:start w:w="120" w:type="dxa"/>
              <w:bottom w:w="80" w:type="dxa"/>
              <w:end w:w="120" w:type="dxa"/>
            </w:tcMar>
          </w:tcPr>
          <w:p>
            <w:r/>
          </w:p>
        </w:tc>
      </w:tr>
      <w:tr>
        <w:tc>
          <w:tcPr>
            <w:tcW w:type="dxa" w:w="1584"/>
            <w:vAlign w:val="top"/>
            <w:tcMar>
              <w:top w:w="80" w:type="dxa"/>
              <w:start w:w="120" w:type="dxa"/>
              <w:bottom w:w="80" w:type="dxa"/>
              <w:end w:w="120" w:type="dxa"/>
            </w:tcMar>
          </w:tcPr>
          <w:p>
            <w:r>
              <w:t>61–90 days</w:t>
            </w:r>
          </w:p>
        </w:tc>
        <w:tc>
          <w:tcPr>
            <w:tcW w:type="dxa" w:w="5184"/>
            <w:vAlign w:val="top"/>
            <w:tcMar>
              <w:top w:w="80" w:type="dxa"/>
              <w:start w:w="120" w:type="dxa"/>
              <w:bottom w:w="80" w:type="dxa"/>
              <w:end w:w="120" w:type="dxa"/>
            </w:tcMar>
          </w:tcPr>
          <w:p>
            <w:r>
              <w:t>Evaluate customer and business effects, correct weaknesses, standardise what works.</w:t>
            </w:r>
          </w:p>
        </w:tc>
        <w:tc>
          <w:tcPr>
            <w:tcW w:type="dxa" w:w="2592"/>
            <w:vAlign w:val="top"/>
            <w:tcMar>
              <w:top w:w="80" w:type="dxa"/>
              <w:start w:w="120" w:type="dxa"/>
              <w:bottom w:w="80" w:type="dxa"/>
              <w:end w:w="120" w:type="dxa"/>
            </w:tcMar>
          </w:tcPr>
          <w:p>
            <w:r/>
          </w:p>
        </w:tc>
      </w:tr>
    </w:tbl>
    <w:p>
      <w:pPr>
        <w:pStyle w:val="Heading1"/>
      </w:pPr>
      <w:r>
        <w:t>ISO 9001 relationship and disclaimer</w:t>
      </w:r>
    </w:p>
    <w:p>
      <w:r>
        <w:t>SaleQMS is independent educational and implementation guidance. It is not affiliated with, sponsored by or endorsed by ISO and does not provide certification. This guide does not reproduce the copyrighted standard. Organisations should consult an authorised copy of the applicable standard and competent conformity-assessment advice when required.</w:t>
      </w:r>
    </w:p>
    <w:p>
      <w:r>
        <w:t>Official references: https://www.iso.org/standard/62085.html and https://www.iso.org/home/insights-news/resources/iso-9001-explained.html</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SaleQMS · Independent implementation guidance · saleqms.com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12634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12634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74E4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